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iCs/>
          <w:color w:val="333333"/>
          <w:spacing w:val="15"/>
          <w:sz w:val="28"/>
          <w:szCs w:val="28"/>
        </w:rPr>
      </w:pPr>
      <w:bookmarkStart w:id="0" w:name="_GoBack"/>
      <w:bookmarkEnd w:id="0"/>
    </w:p>
    <w:p>
      <w:pPr>
        <w:ind w:left="31680" w:hanging="18" w:hangingChars="5"/>
        <w:jc w:val="center"/>
        <w:rPr>
          <w:rFonts w:ascii="黑体" w:eastAsia="黑体" w:cs="宋体"/>
          <w:b/>
          <w:bCs/>
          <w:iCs/>
          <w:color w:val="333333"/>
          <w:spacing w:val="15"/>
          <w:sz w:val="32"/>
          <w:szCs w:val="32"/>
        </w:rPr>
      </w:pPr>
      <w:r>
        <w:rPr>
          <w:rFonts w:hint="eastAsia" w:ascii="黑体" w:hAnsi="黑体" w:eastAsia="黑体" w:cs="黑体"/>
          <w:b/>
          <w:iCs/>
          <w:color w:val="333333"/>
          <w:spacing w:val="15"/>
          <w:sz w:val="32"/>
          <w:szCs w:val="32"/>
        </w:rPr>
        <w:t>《</w:t>
      </w:r>
      <w:r>
        <w:rPr>
          <w:rFonts w:hint="eastAsia" w:ascii="黑体" w:hAnsi="宋体" w:eastAsia="黑体" w:cs="宋体"/>
          <w:b/>
          <w:bCs/>
          <w:iCs/>
          <w:color w:val="333333"/>
          <w:spacing w:val="15"/>
          <w:sz w:val="32"/>
          <w:szCs w:val="32"/>
        </w:rPr>
        <w:t>工作时间与休息时间法律制度</w:t>
      </w:r>
      <w:r>
        <w:rPr>
          <w:rFonts w:hint="eastAsia" w:ascii="黑体" w:hAnsi="黑体" w:eastAsia="黑体" w:cs="黑体"/>
          <w:b/>
          <w:iCs/>
          <w:color w:val="333333"/>
          <w:spacing w:val="15"/>
          <w:sz w:val="32"/>
          <w:szCs w:val="32"/>
        </w:rPr>
        <w:t>》教案</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一、授课信息</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1</w:t>
      </w:r>
      <w:r>
        <w:rPr>
          <w:rFonts w:hint="eastAsia" w:ascii="宋体" w:hAnsi="宋体" w:cs="宋体"/>
          <w:bCs/>
          <w:iCs/>
          <w:color w:val="333333"/>
          <w:spacing w:val="15"/>
          <w:sz w:val="28"/>
          <w:szCs w:val="28"/>
        </w:rPr>
        <w:t>、课程名称：《劳动与社会保障法》</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2</w:t>
      </w:r>
      <w:r>
        <w:rPr>
          <w:rFonts w:hint="eastAsia" w:ascii="宋体" w:hAnsi="宋体" w:cs="宋体"/>
          <w:bCs/>
          <w:iCs/>
          <w:color w:val="333333"/>
          <w:spacing w:val="15"/>
          <w:sz w:val="28"/>
          <w:szCs w:val="28"/>
        </w:rPr>
        <w:t>、授课内容：工作时间与休息时间法律制度</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3</w:t>
      </w:r>
      <w:r>
        <w:rPr>
          <w:rFonts w:hint="eastAsia" w:ascii="宋体" w:hAnsi="宋体" w:cs="宋体"/>
          <w:bCs/>
          <w:iCs/>
          <w:color w:val="333333"/>
          <w:spacing w:val="15"/>
          <w:sz w:val="28"/>
          <w:szCs w:val="28"/>
        </w:rPr>
        <w:t>、授课对象：法律事务专业</w:t>
      </w:r>
      <w:r>
        <w:rPr>
          <w:rFonts w:hint="eastAsia" w:ascii="宋体" w:hAnsi="宋体" w:cs="宋体"/>
          <w:bCs/>
          <w:iCs/>
          <w:color w:val="333333"/>
          <w:spacing w:val="15"/>
          <w:sz w:val="28"/>
          <w:szCs w:val="28"/>
          <w:lang w:eastAsia="zh-CN"/>
        </w:rPr>
        <w:t>二年级</w:t>
      </w:r>
      <w:r>
        <w:rPr>
          <w:rFonts w:hint="eastAsia" w:ascii="宋体" w:hAnsi="宋体" w:cs="宋体"/>
          <w:bCs/>
          <w:iCs/>
          <w:color w:val="333333"/>
          <w:spacing w:val="15"/>
          <w:sz w:val="28"/>
          <w:szCs w:val="28"/>
        </w:rPr>
        <w:t>学生</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4</w:t>
      </w:r>
      <w:r>
        <w:rPr>
          <w:rFonts w:hint="eastAsia" w:ascii="宋体" w:hAnsi="宋体" w:cs="宋体"/>
          <w:bCs/>
          <w:iCs/>
          <w:color w:val="333333"/>
          <w:spacing w:val="15"/>
          <w:sz w:val="28"/>
          <w:szCs w:val="28"/>
        </w:rPr>
        <w:t>、上课地点：模拟法庭</w:t>
      </w:r>
    </w:p>
    <w:p>
      <w:pPr>
        <w:ind w:left="31680" w:hanging="15" w:hangingChars="5"/>
        <w:jc w:val="left"/>
        <w:rPr>
          <w:rFonts w:hint="eastAsia" w:ascii="宋体" w:eastAsia="宋体" w:cs="宋体"/>
          <w:bCs/>
          <w:iCs/>
          <w:color w:val="333333"/>
          <w:spacing w:val="15"/>
          <w:sz w:val="28"/>
          <w:szCs w:val="28"/>
          <w:lang w:val="en-US" w:eastAsia="zh-CN"/>
        </w:rPr>
      </w:pPr>
      <w:r>
        <w:rPr>
          <w:rFonts w:ascii="宋体" w:hAnsi="宋体" w:cs="宋体"/>
          <w:bCs/>
          <w:iCs/>
          <w:color w:val="333333"/>
          <w:spacing w:val="15"/>
          <w:sz w:val="28"/>
          <w:szCs w:val="28"/>
        </w:rPr>
        <w:t>5</w:t>
      </w:r>
      <w:r>
        <w:rPr>
          <w:rFonts w:hint="eastAsia" w:ascii="宋体" w:hAnsi="宋体" w:cs="宋体"/>
          <w:bCs/>
          <w:iCs/>
          <w:color w:val="333333"/>
          <w:spacing w:val="15"/>
          <w:sz w:val="28"/>
          <w:szCs w:val="28"/>
        </w:rPr>
        <w:t>、</w:t>
      </w:r>
      <w:r>
        <w:rPr>
          <w:rFonts w:hint="eastAsia" w:ascii="宋体" w:hAnsi="宋体" w:cs="宋体"/>
          <w:bCs/>
          <w:iCs/>
          <w:color w:val="333333"/>
          <w:spacing w:val="15"/>
          <w:sz w:val="28"/>
          <w:szCs w:val="28"/>
          <w:lang w:val="en-US" w:eastAsia="zh-CN"/>
        </w:rPr>
        <w:t>课</w:t>
      </w:r>
      <w:r>
        <w:rPr>
          <w:rFonts w:ascii="宋体" w:hAnsi="宋体" w:cs="宋体"/>
          <w:bCs/>
          <w:iCs/>
          <w:color w:val="333333"/>
          <w:spacing w:val="15"/>
          <w:sz w:val="28"/>
          <w:szCs w:val="28"/>
        </w:rPr>
        <w:t xml:space="preserve">    </w:t>
      </w:r>
      <w:r>
        <w:rPr>
          <w:rFonts w:hint="eastAsia" w:ascii="宋体" w:hAnsi="宋体" w:cs="宋体"/>
          <w:bCs/>
          <w:iCs/>
          <w:color w:val="333333"/>
          <w:spacing w:val="15"/>
          <w:sz w:val="28"/>
          <w:szCs w:val="28"/>
          <w:lang w:val="en-US" w:eastAsia="zh-CN"/>
        </w:rPr>
        <w:t>时</w:t>
      </w:r>
      <w:r>
        <w:rPr>
          <w:rFonts w:hint="eastAsia" w:ascii="宋体" w:hAnsi="宋体" w:cs="宋体"/>
          <w:bCs/>
          <w:iCs/>
          <w:color w:val="333333"/>
          <w:spacing w:val="15"/>
          <w:sz w:val="28"/>
          <w:szCs w:val="28"/>
        </w:rPr>
        <w:t>：</w:t>
      </w:r>
      <w:r>
        <w:rPr>
          <w:rFonts w:hint="eastAsia" w:ascii="宋体" w:hAnsi="宋体" w:cs="宋体"/>
          <w:bCs/>
          <w:iCs/>
          <w:color w:val="333333"/>
          <w:spacing w:val="15"/>
          <w:sz w:val="28"/>
          <w:szCs w:val="28"/>
          <w:lang w:val="en-US" w:eastAsia="zh-CN"/>
        </w:rPr>
        <w:t>2</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二、教学的任务与目标</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（一）教学任务</w:t>
      </w:r>
    </w:p>
    <w:p>
      <w:pPr>
        <w:ind w:left="279" w:leftChars="133" w:firstLine="601" w:firstLineChars="194"/>
        <w:jc w:val="left"/>
        <w:rPr>
          <w:rFonts w:hint="eastAsia" w:ascii="宋体" w:hAnsi="宋体" w:eastAsia="宋体" w:cs="宋体"/>
          <w:iCs/>
          <w:color w:val="333333"/>
          <w:spacing w:val="15"/>
          <w:sz w:val="28"/>
          <w:szCs w:val="28"/>
          <w:lang w:eastAsia="zh-CN"/>
        </w:rPr>
      </w:pPr>
      <w:r>
        <w:rPr>
          <w:rFonts w:hint="eastAsia" w:ascii="宋体" w:hAnsi="宋体" w:cs="宋体"/>
          <w:iCs/>
          <w:color w:val="333333"/>
          <w:spacing w:val="15"/>
          <w:sz w:val="28"/>
          <w:szCs w:val="28"/>
        </w:rPr>
        <w:t>工作与休息时间法律制度、限制延长工作时间</w:t>
      </w:r>
      <w:r>
        <w:rPr>
          <w:rFonts w:hint="eastAsia" w:ascii="宋体" w:hAnsi="宋体" w:cs="宋体"/>
          <w:iCs/>
          <w:color w:val="333333"/>
          <w:spacing w:val="15"/>
          <w:sz w:val="28"/>
          <w:szCs w:val="28"/>
          <w:lang w:eastAsia="zh-CN"/>
        </w:rPr>
        <w:t>。</w:t>
      </w:r>
    </w:p>
    <w:p>
      <w:pPr>
        <w:ind w:left="31680" w:hanging="16" w:hangingChars="5"/>
        <w:jc w:val="left"/>
        <w:rPr>
          <w:rFonts w:ascii="宋体" w:cs="宋体"/>
          <w:bCs/>
          <w:iCs/>
          <w:color w:val="333333"/>
          <w:spacing w:val="15"/>
          <w:sz w:val="28"/>
          <w:szCs w:val="28"/>
        </w:rPr>
      </w:pPr>
      <w:r>
        <w:rPr>
          <w:rFonts w:ascii="宋体" w:hAnsi="宋体" w:cs="宋体"/>
          <w:b/>
          <w:iCs/>
          <w:color w:val="333333"/>
          <w:spacing w:val="15"/>
          <w:sz w:val="28"/>
          <w:szCs w:val="28"/>
        </w:rPr>
        <w:t>1</w:t>
      </w:r>
      <w:r>
        <w:rPr>
          <w:rFonts w:hint="eastAsia" w:ascii="宋体" w:hAnsi="宋体" w:cs="宋体"/>
          <w:b/>
          <w:iCs/>
          <w:color w:val="333333"/>
          <w:spacing w:val="15"/>
          <w:sz w:val="28"/>
          <w:szCs w:val="28"/>
        </w:rPr>
        <w:t>、教学重点</w:t>
      </w:r>
      <w:r>
        <w:rPr>
          <w:rFonts w:hint="eastAsia" w:ascii="宋体" w:hAnsi="宋体" w:cs="宋体"/>
          <w:bCs/>
          <w:iCs/>
          <w:color w:val="333333"/>
          <w:spacing w:val="15"/>
          <w:sz w:val="28"/>
          <w:szCs w:val="28"/>
        </w:rPr>
        <w:t>：工作时间及休息休假时间的种类、限制延长工作时间的措施。</w:t>
      </w:r>
    </w:p>
    <w:p>
      <w:pPr>
        <w:ind w:left="31680" w:hanging="16" w:hangingChars="5"/>
        <w:jc w:val="left"/>
        <w:rPr>
          <w:rFonts w:ascii="宋体" w:cs="宋体"/>
          <w:bCs/>
          <w:iCs/>
          <w:color w:val="333333"/>
          <w:spacing w:val="15"/>
          <w:sz w:val="28"/>
          <w:szCs w:val="28"/>
        </w:rPr>
      </w:pPr>
      <w:r>
        <w:rPr>
          <w:rFonts w:ascii="宋体" w:hAnsi="宋体" w:cs="宋体"/>
          <w:b/>
          <w:iCs/>
          <w:color w:val="333333"/>
          <w:spacing w:val="15"/>
          <w:sz w:val="28"/>
          <w:szCs w:val="28"/>
        </w:rPr>
        <w:t>2</w:t>
      </w:r>
      <w:r>
        <w:rPr>
          <w:rFonts w:hint="eastAsia" w:ascii="宋体" w:hAnsi="宋体" w:cs="宋体"/>
          <w:b/>
          <w:iCs/>
          <w:color w:val="333333"/>
          <w:spacing w:val="15"/>
          <w:sz w:val="28"/>
          <w:szCs w:val="28"/>
        </w:rPr>
        <w:t>、教学难点：</w:t>
      </w:r>
      <w:r>
        <w:rPr>
          <w:rFonts w:hint="eastAsia" w:ascii="宋体" w:hAnsi="宋体" w:cs="宋体"/>
          <w:bCs/>
          <w:iCs/>
          <w:color w:val="333333"/>
          <w:spacing w:val="15"/>
          <w:sz w:val="28"/>
          <w:szCs w:val="28"/>
        </w:rPr>
        <w:t>理解不定时工作时间、综合工作时间、计件工作时间，熟悉有关法律法规关于工作时间与休假时间的规定。</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（二）教学目标</w:t>
      </w:r>
    </w:p>
    <w:p>
      <w:pPr>
        <w:ind w:left="15" w:leftChars="7" w:firstLine="620" w:firstLineChars="200"/>
        <w:jc w:val="left"/>
        <w:rPr>
          <w:rFonts w:ascii="宋体" w:cs="宋体"/>
          <w:bCs/>
          <w:iCs/>
          <w:color w:val="333333"/>
          <w:spacing w:val="15"/>
          <w:sz w:val="28"/>
          <w:szCs w:val="28"/>
        </w:rPr>
      </w:pPr>
      <w:r>
        <w:rPr>
          <w:rFonts w:hint="eastAsia" w:ascii="宋体" w:hAnsi="宋体" w:cs="宋体"/>
          <w:bCs/>
          <w:iCs/>
          <w:color w:val="333333"/>
          <w:spacing w:val="15"/>
          <w:sz w:val="28"/>
          <w:szCs w:val="28"/>
        </w:rPr>
        <w:t>着重培养学生运用法律基础知识，理论联系实际，提高分析和解决实际问题的能力。</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三、学情分析</w:t>
      </w:r>
    </w:p>
    <w:p>
      <w:pPr>
        <w:ind w:firstLine="620" w:firstLineChars="200"/>
        <w:jc w:val="left"/>
        <w:rPr>
          <w:rFonts w:ascii="宋体" w:cs="宋体"/>
          <w:bCs/>
          <w:iCs/>
          <w:color w:val="333333"/>
          <w:spacing w:val="15"/>
          <w:sz w:val="28"/>
          <w:szCs w:val="28"/>
        </w:rPr>
      </w:pPr>
      <w:r>
        <w:rPr>
          <w:rFonts w:hint="eastAsia" w:ascii="宋体" w:hAnsi="宋体" w:cs="宋体"/>
          <w:bCs/>
          <w:iCs/>
          <w:color w:val="333333"/>
          <w:spacing w:val="15"/>
          <w:sz w:val="28"/>
          <w:szCs w:val="28"/>
        </w:rPr>
        <w:t>本课程的授课对象是法律事务专业</w:t>
      </w:r>
      <w:r>
        <w:rPr>
          <w:rFonts w:hint="eastAsia" w:ascii="宋体" w:hAnsi="宋体" w:cs="宋体"/>
          <w:bCs/>
          <w:iCs/>
          <w:color w:val="333333"/>
          <w:spacing w:val="15"/>
          <w:sz w:val="28"/>
          <w:szCs w:val="28"/>
          <w:lang w:eastAsia="zh-CN"/>
        </w:rPr>
        <w:t>二年级</w:t>
      </w:r>
      <w:r>
        <w:rPr>
          <w:rFonts w:hint="eastAsia" w:ascii="宋体" w:hAnsi="宋体" w:cs="宋体"/>
          <w:bCs/>
          <w:iCs/>
          <w:color w:val="333333"/>
          <w:spacing w:val="15"/>
          <w:sz w:val="28"/>
          <w:szCs w:val="28"/>
        </w:rPr>
        <w:t>的学生，法律知识架构还在形成中。因此，在课堂上更应努力提高学生学习能力与知识的运用能力。《劳动与社会保障法》是日常生活中与每一位劳动者都息息相关的法律法规，对于即将走出校门、走上工作岗位的学生，掌握这方面知识是非常有必要的。本课是该法的重要一课，起着承上启下的作用，学好本课，既是承接之前学习的内容，同时又能为以后的学习打好基础。</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四、活动安排</w:t>
      </w:r>
    </w:p>
    <w:tbl>
      <w:tblPr>
        <w:tblStyle w:val="4"/>
        <w:tblW w:w="92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8"/>
        <w:gridCol w:w="2519"/>
        <w:gridCol w:w="2128"/>
        <w:gridCol w:w="33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6" w:hRule="atLeast"/>
          <w:jc w:val="center"/>
        </w:trPr>
        <w:tc>
          <w:tcPr>
            <w:tcW w:w="1268" w:type="dxa"/>
            <w:tcBorders>
              <w:top w:val="single" w:color="auto" w:sz="4" w:space="0"/>
              <w:bottom w:val="single" w:color="auto" w:sz="4" w:space="0"/>
              <w:right w:val="single" w:color="auto" w:sz="4" w:space="0"/>
            </w:tcBorders>
          </w:tcPr>
          <w:p>
            <w:pPr>
              <w:jc w:val="center"/>
              <w:rPr>
                <w:b/>
                <w:sz w:val="28"/>
                <w:szCs w:val="28"/>
              </w:rPr>
            </w:pPr>
            <w:r>
              <w:rPr>
                <w:rFonts w:hint="eastAsia"/>
                <w:b/>
                <w:sz w:val="28"/>
                <w:szCs w:val="28"/>
              </w:rPr>
              <w:t>教学</w:t>
            </w:r>
          </w:p>
          <w:p>
            <w:pPr>
              <w:jc w:val="center"/>
              <w:rPr>
                <w:b/>
                <w:sz w:val="28"/>
                <w:szCs w:val="28"/>
              </w:rPr>
            </w:pPr>
            <w:r>
              <w:rPr>
                <w:rFonts w:hint="eastAsia"/>
                <w:b/>
                <w:sz w:val="28"/>
                <w:szCs w:val="28"/>
              </w:rPr>
              <w:t>环节及</w:t>
            </w:r>
          </w:p>
          <w:p>
            <w:pPr>
              <w:jc w:val="center"/>
              <w:rPr>
                <w:rFonts w:ascii="Arial Unicode MS" w:hAnsi="Arial Unicode MS" w:cs="Arial Unicode MS"/>
                <w:b/>
                <w:sz w:val="28"/>
                <w:szCs w:val="28"/>
              </w:rPr>
            </w:pPr>
            <w:r>
              <w:rPr>
                <w:rFonts w:hint="eastAsia"/>
                <w:b/>
                <w:sz w:val="28"/>
                <w:szCs w:val="28"/>
              </w:rPr>
              <w:t>时间</w:t>
            </w:r>
          </w:p>
        </w:tc>
        <w:tc>
          <w:tcPr>
            <w:tcW w:w="2519" w:type="dxa"/>
            <w:tcBorders>
              <w:top w:val="single" w:color="auto" w:sz="4" w:space="0"/>
              <w:left w:val="single" w:color="auto" w:sz="4" w:space="0"/>
              <w:bottom w:val="single" w:color="auto" w:sz="4" w:space="0"/>
              <w:right w:val="single" w:color="auto" w:sz="4" w:space="0"/>
            </w:tcBorders>
          </w:tcPr>
          <w:p>
            <w:pPr>
              <w:jc w:val="center"/>
              <w:rPr>
                <w:b/>
                <w:sz w:val="28"/>
                <w:szCs w:val="28"/>
              </w:rPr>
            </w:pPr>
          </w:p>
          <w:p>
            <w:pPr>
              <w:jc w:val="center"/>
              <w:rPr>
                <w:rFonts w:ascii="Arial Unicode MS" w:hAnsi="Arial Unicode MS" w:cs="Arial Unicode MS"/>
                <w:b/>
                <w:sz w:val="28"/>
                <w:szCs w:val="28"/>
              </w:rPr>
            </w:pPr>
            <w:r>
              <w:rPr>
                <w:rFonts w:hint="eastAsia"/>
                <w:b/>
                <w:sz w:val="28"/>
                <w:szCs w:val="28"/>
              </w:rPr>
              <w:t>教师活动</w:t>
            </w:r>
          </w:p>
        </w:tc>
        <w:tc>
          <w:tcPr>
            <w:tcW w:w="2128" w:type="dxa"/>
            <w:tcBorders>
              <w:top w:val="single" w:color="auto" w:sz="4" w:space="0"/>
              <w:left w:val="single" w:color="auto" w:sz="4" w:space="0"/>
              <w:bottom w:val="single" w:color="auto" w:sz="4" w:space="0"/>
              <w:right w:val="single" w:color="auto" w:sz="4" w:space="0"/>
            </w:tcBorders>
          </w:tcPr>
          <w:p>
            <w:pPr>
              <w:jc w:val="center"/>
              <w:rPr>
                <w:b/>
                <w:sz w:val="28"/>
                <w:szCs w:val="28"/>
              </w:rPr>
            </w:pPr>
            <w:r>
              <w:rPr>
                <w:rFonts w:hint="eastAsia"/>
                <w:b/>
                <w:sz w:val="28"/>
                <w:szCs w:val="28"/>
              </w:rPr>
              <w:t>学生</w:t>
            </w:r>
          </w:p>
          <w:p>
            <w:pPr>
              <w:jc w:val="center"/>
              <w:rPr>
                <w:rFonts w:ascii="Arial Unicode MS" w:hAnsi="Arial Unicode MS" w:cs="Arial Unicode MS"/>
                <w:b/>
                <w:sz w:val="28"/>
                <w:szCs w:val="28"/>
              </w:rPr>
            </w:pPr>
            <w:r>
              <w:rPr>
                <w:rFonts w:hint="eastAsia"/>
                <w:b/>
                <w:sz w:val="28"/>
                <w:szCs w:val="28"/>
              </w:rPr>
              <w:t>活动</w:t>
            </w:r>
          </w:p>
        </w:tc>
        <w:tc>
          <w:tcPr>
            <w:tcW w:w="3329" w:type="dxa"/>
            <w:tcBorders>
              <w:top w:val="single" w:color="auto" w:sz="4" w:space="0"/>
              <w:left w:val="single" w:color="auto" w:sz="4" w:space="0"/>
              <w:bottom w:val="single" w:color="auto" w:sz="4" w:space="0"/>
            </w:tcBorders>
          </w:tcPr>
          <w:p>
            <w:pPr>
              <w:jc w:val="center"/>
              <w:rPr>
                <w:b/>
                <w:sz w:val="28"/>
                <w:szCs w:val="28"/>
              </w:rPr>
            </w:pPr>
            <w:r>
              <w:rPr>
                <w:rFonts w:hint="eastAsia"/>
                <w:b/>
                <w:sz w:val="28"/>
                <w:szCs w:val="28"/>
              </w:rPr>
              <w:t>对学生学习过程的</w:t>
            </w:r>
          </w:p>
          <w:p>
            <w:pPr>
              <w:jc w:val="center"/>
              <w:rPr>
                <w:rFonts w:ascii="Arial Unicode MS" w:hAnsi="Arial Unicode MS"/>
                <w:b/>
                <w:sz w:val="28"/>
                <w:szCs w:val="28"/>
              </w:rPr>
            </w:pPr>
            <w:r>
              <w:rPr>
                <w:rFonts w:hint="eastAsia"/>
                <w:b/>
                <w:sz w:val="28"/>
                <w:szCs w:val="28"/>
              </w:rPr>
              <w:t>观察（考查）</w:t>
            </w:r>
          </w:p>
          <w:p>
            <w:pPr>
              <w:jc w:val="center"/>
              <w:rPr>
                <w:rFonts w:ascii="Arial Unicode MS" w:hAnsi="Arial Unicode MS" w:cs="Arial Unicode MS"/>
                <w:b/>
                <w:sz w:val="28"/>
                <w:szCs w:val="28"/>
              </w:rPr>
            </w:pPr>
            <w:r>
              <w:rPr>
                <w:rFonts w:hint="eastAsia"/>
                <w:b/>
                <w:sz w:val="28"/>
                <w:szCs w:val="28"/>
              </w:rPr>
              <w:t>及设计意图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268" w:type="dxa"/>
            <w:vMerge w:val="restart"/>
            <w:tcBorders>
              <w:top w:val="single" w:color="auto" w:sz="4" w:space="0"/>
              <w:right w:val="single" w:color="auto" w:sz="4" w:space="0"/>
            </w:tcBorders>
          </w:tcPr>
          <w:p>
            <w:pPr>
              <w:jc w:val="left"/>
              <w:rPr>
                <w:sz w:val="24"/>
              </w:rPr>
            </w:pPr>
          </w:p>
          <w:p>
            <w:pPr>
              <w:jc w:val="left"/>
              <w:rPr>
                <w:rFonts w:ascii="Arial Unicode MS" w:hAnsi="Arial Unicode MS"/>
                <w:sz w:val="24"/>
              </w:rPr>
            </w:pPr>
            <w:r>
              <w:rPr>
                <w:rFonts w:hint="eastAsia"/>
                <w:sz w:val="24"/>
              </w:rPr>
              <w:t>课前导入</w:t>
            </w:r>
          </w:p>
          <w:p>
            <w:pPr>
              <w:jc w:val="left"/>
              <w:rPr>
                <w:sz w:val="24"/>
              </w:rPr>
            </w:pPr>
            <w:r>
              <w:rPr>
                <w:rFonts w:hint="eastAsia"/>
                <w:sz w:val="24"/>
              </w:rPr>
              <w:t>（</w:t>
            </w:r>
            <w:r>
              <w:rPr>
                <w:sz w:val="24"/>
              </w:rPr>
              <w:t>5</w:t>
            </w:r>
            <w:r>
              <w:rPr>
                <w:rFonts w:hint="eastAsia"/>
                <w:sz w:val="24"/>
              </w:rPr>
              <w:t>分钟）</w:t>
            </w:r>
          </w:p>
          <w:p>
            <w:pPr>
              <w:jc w:val="left"/>
              <w:rPr>
                <w:sz w:val="24"/>
              </w:rPr>
            </w:pPr>
          </w:p>
          <w:p>
            <w:pPr>
              <w:jc w:val="left"/>
              <w:rPr>
                <w:rFonts w:ascii="Arial Unicode MS" w:hAnsi="Arial Unicode MS" w:cs="Arial Unicode MS"/>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1</w:t>
            </w:r>
            <w:r>
              <w:rPr>
                <w:rFonts w:hint="eastAsia"/>
                <w:sz w:val="24"/>
              </w:rPr>
              <w:t>、考勤。</w:t>
            </w:r>
          </w:p>
          <w:p>
            <w:pPr>
              <w:spacing w:line="360" w:lineRule="auto"/>
              <w:jc w:val="left"/>
              <w:rPr>
                <w:rFonts w:ascii="Arial Unicode MS" w:hAnsi="Arial Unicode MS" w:cs="Arial Unicode MS"/>
                <w:sz w:val="24"/>
              </w:rPr>
            </w:pPr>
          </w:p>
        </w:tc>
        <w:tc>
          <w:tcPr>
            <w:tcW w:w="2128" w:type="dxa"/>
            <w:tcBorders>
              <w:top w:val="single" w:color="auto" w:sz="4" w:space="0"/>
              <w:left w:val="single" w:color="auto" w:sz="4" w:space="0"/>
              <w:bottom w:val="single" w:color="auto" w:sz="4" w:space="0"/>
              <w:right w:val="single" w:color="auto" w:sz="4" w:space="0"/>
            </w:tcBorders>
          </w:tcPr>
          <w:p>
            <w:pPr>
              <w:jc w:val="left"/>
              <w:rPr>
                <w:sz w:val="24"/>
              </w:rPr>
            </w:pPr>
            <w:r>
              <w:rPr>
                <w:sz w:val="24"/>
              </w:rPr>
              <w:t>1</w:t>
            </w:r>
            <w:r>
              <w:rPr>
                <w:rFonts w:hint="eastAsia"/>
                <w:sz w:val="24"/>
              </w:rPr>
              <w:t>、实行网络考勤。</w:t>
            </w:r>
          </w:p>
          <w:p>
            <w:pPr>
              <w:jc w:val="left"/>
              <w:rPr>
                <w:rFonts w:ascii="Arial Unicode MS" w:hAnsi="Arial Unicode MS" w:cs="Arial Unicode MS"/>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1</w:t>
            </w:r>
            <w:r>
              <w:rPr>
                <w:rFonts w:hint="eastAsia"/>
                <w:sz w:val="24"/>
              </w:rPr>
              <w:t>、信息化考勤能迅速、高效地了解学生的出勤情况。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68" w:type="dxa"/>
            <w:vMerge w:val="continue"/>
            <w:tcBorders>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2</w:t>
            </w:r>
            <w:r>
              <w:rPr>
                <w:rFonts w:hint="eastAsia"/>
                <w:sz w:val="24"/>
              </w:rPr>
              <w:t>、学生作业报告分析。</w:t>
            </w:r>
          </w:p>
        </w:tc>
        <w:tc>
          <w:tcPr>
            <w:tcW w:w="2128" w:type="dxa"/>
            <w:tcBorders>
              <w:top w:val="single" w:color="auto" w:sz="4" w:space="0"/>
              <w:left w:val="single" w:color="auto" w:sz="4" w:space="0"/>
              <w:bottom w:val="single" w:color="auto" w:sz="4" w:space="0"/>
              <w:right w:val="single" w:color="auto" w:sz="4" w:space="0"/>
            </w:tcBorders>
          </w:tcPr>
          <w:p>
            <w:pPr>
              <w:jc w:val="left"/>
              <w:rPr>
                <w:rFonts w:ascii="Arial Unicode MS" w:hAnsi="Arial Unicode MS" w:cs="Arial Unicode MS"/>
                <w:sz w:val="24"/>
              </w:rPr>
            </w:pPr>
            <w:r>
              <w:rPr>
                <w:sz w:val="24"/>
              </w:rPr>
              <w:t>2</w:t>
            </w:r>
            <w:r>
              <w:rPr>
                <w:rFonts w:hint="eastAsia"/>
                <w:sz w:val="24"/>
              </w:rPr>
              <w:t>、课前进入系统完成相关练习。</w:t>
            </w:r>
          </w:p>
          <w:p>
            <w:pPr>
              <w:jc w:val="left"/>
              <w:rPr>
                <w:sz w:val="24"/>
              </w:rPr>
            </w:pPr>
          </w:p>
          <w:p>
            <w:pPr>
              <w:jc w:val="left"/>
              <w:rPr>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2</w:t>
            </w:r>
            <w:r>
              <w:rPr>
                <w:rFonts w:hint="eastAsia"/>
                <w:sz w:val="24"/>
              </w:rPr>
              <w:t>、课前练习、作业质量报告的分析以及优秀作品分享是为了让学生对前章内容进行回顾，形成知识环，更好地与即将要学习的知识串联，最终构成稳固的知识链。</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8" w:hRule="atLeast"/>
          <w:jc w:val="center"/>
        </w:trPr>
        <w:tc>
          <w:tcPr>
            <w:tcW w:w="1268" w:type="dxa"/>
            <w:vMerge w:val="continue"/>
            <w:tcBorders>
              <w:bottom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3</w:t>
            </w:r>
            <w:r>
              <w:rPr>
                <w:rFonts w:hint="eastAsia"/>
                <w:sz w:val="24"/>
              </w:rPr>
              <w:t>、先导入数据图</w:t>
            </w:r>
            <w:r>
              <w:rPr>
                <w:sz w:val="24"/>
              </w:rPr>
              <w:t>+</w:t>
            </w:r>
            <w:r>
              <w:rPr>
                <w:rFonts w:hint="eastAsia"/>
                <w:sz w:val="24"/>
              </w:rPr>
              <w:t>介绍即将学习的内容</w:t>
            </w:r>
          </w:p>
        </w:tc>
        <w:tc>
          <w:tcPr>
            <w:tcW w:w="2128" w:type="dxa"/>
            <w:tcBorders>
              <w:top w:val="single" w:color="auto" w:sz="4" w:space="0"/>
              <w:left w:val="single" w:color="auto" w:sz="4" w:space="0"/>
              <w:bottom w:val="single" w:color="auto" w:sz="4" w:space="0"/>
              <w:right w:val="single" w:color="auto" w:sz="4" w:space="0"/>
            </w:tcBorders>
          </w:tcPr>
          <w:p>
            <w:pPr>
              <w:jc w:val="left"/>
              <w:rPr>
                <w:sz w:val="24"/>
              </w:rPr>
            </w:pPr>
            <w:r>
              <w:rPr>
                <w:sz w:val="24"/>
              </w:rPr>
              <w:t>3</w:t>
            </w:r>
            <w:r>
              <w:rPr>
                <w:rFonts w:hint="eastAsia"/>
                <w:sz w:val="24"/>
              </w:rPr>
              <w:t>、分析数据图。</w:t>
            </w:r>
          </w:p>
        </w:tc>
        <w:tc>
          <w:tcPr>
            <w:tcW w:w="3329" w:type="dxa"/>
            <w:tcBorders>
              <w:top w:val="single" w:color="auto" w:sz="4" w:space="0"/>
              <w:left w:val="single" w:color="auto" w:sz="4" w:space="0"/>
              <w:bottom w:val="single" w:color="auto" w:sz="4" w:space="0"/>
            </w:tcBorders>
          </w:tcPr>
          <w:p>
            <w:pPr>
              <w:jc w:val="left"/>
              <w:rPr>
                <w:sz w:val="24"/>
              </w:rPr>
            </w:pPr>
            <w:r>
              <w:rPr>
                <w:sz w:val="24"/>
              </w:rPr>
              <w:t>3</w:t>
            </w:r>
            <w:r>
              <w:rPr>
                <w:rFonts w:hint="eastAsia"/>
                <w:sz w:val="24"/>
              </w:rPr>
              <w:t>、用数据图的形式展现全国的劳动争议的数量及种类并对其进行分析，让学生清楚学习本章节的重要性与意义，激发学习兴趣，更好地完成教学任务。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1268" w:type="dxa"/>
            <w:vMerge w:val="restart"/>
            <w:tcBorders>
              <w:top w:val="single" w:color="auto" w:sz="4" w:space="0"/>
              <w:right w:val="single" w:color="auto" w:sz="4" w:space="0"/>
            </w:tcBorders>
          </w:tcPr>
          <w:p>
            <w:pPr>
              <w:jc w:val="left"/>
              <w:rPr>
                <w:sz w:val="24"/>
              </w:rPr>
            </w:pPr>
          </w:p>
          <w:p>
            <w:pPr>
              <w:jc w:val="left"/>
              <w:rPr>
                <w:sz w:val="24"/>
              </w:rPr>
            </w:pPr>
            <w:r>
              <w:rPr>
                <w:rFonts w:hint="eastAsia"/>
                <w:sz w:val="24"/>
              </w:rPr>
              <w:t>课中学习（</w:t>
            </w:r>
            <w:r>
              <w:rPr>
                <w:sz w:val="24"/>
              </w:rPr>
              <w:t>36</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numPr>
                <w:ilvl w:val="0"/>
                <w:numId w:val="1"/>
              </w:numPr>
              <w:jc w:val="left"/>
              <w:rPr>
                <w:sz w:val="24"/>
              </w:rPr>
            </w:pPr>
            <w:r>
              <w:rPr>
                <w:rFonts w:hint="eastAsia"/>
                <w:sz w:val="24"/>
              </w:rPr>
              <w:t>讲授本课知识点</w:t>
            </w:r>
            <w:r>
              <w:rPr>
                <w:sz w:val="24"/>
              </w:rPr>
              <w:t>+</w:t>
            </w:r>
            <w:r>
              <w:rPr>
                <w:rFonts w:hint="eastAsia"/>
                <w:sz w:val="24"/>
              </w:rPr>
              <w:t>举例子说明。</w:t>
            </w: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numPr>
                <w:ilvl w:val="0"/>
                <w:numId w:val="2"/>
              </w:numPr>
              <w:jc w:val="left"/>
              <w:rPr>
                <w:rFonts w:ascii="宋体" w:cs="宋体"/>
                <w:kern w:val="0"/>
                <w:sz w:val="24"/>
              </w:rPr>
            </w:pPr>
            <w:r>
              <w:rPr>
                <w:rFonts w:hint="eastAsia" w:ascii="宋体" w:hAnsi="宋体" w:cs="宋体"/>
                <w:kern w:val="0"/>
                <w:sz w:val="24"/>
              </w:rPr>
              <w:t>学习基础的知识。</w:t>
            </w:r>
          </w:p>
          <w:p>
            <w:pPr>
              <w:widowControl/>
              <w:jc w:val="left"/>
              <w:rPr>
                <w:rFonts w:ascii="宋体" w:cs="宋体"/>
                <w:kern w:val="0"/>
                <w:sz w:val="24"/>
              </w:rPr>
            </w:pPr>
          </w:p>
          <w:p>
            <w:pPr>
              <w:widowControl/>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1</w:t>
            </w:r>
            <w:r>
              <w:rPr>
                <w:rFonts w:hint="eastAsia"/>
                <w:sz w:val="24"/>
              </w:rPr>
              <w:t>、形成扎实的基本知识结构，为分析问题、解决问题做铺垫。</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1268" w:type="dxa"/>
            <w:vMerge w:val="continue"/>
            <w:tcBorders>
              <w:bottom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numPr>
                <w:ilvl w:val="0"/>
                <w:numId w:val="1"/>
              </w:numPr>
              <w:jc w:val="left"/>
              <w:rPr>
                <w:sz w:val="24"/>
              </w:rPr>
            </w:pPr>
            <w:r>
              <w:rPr>
                <w:rFonts w:hint="eastAsia"/>
                <w:sz w:val="24"/>
              </w:rPr>
              <w:t>案例导入</w:t>
            </w:r>
            <w:r>
              <w:rPr>
                <w:sz w:val="24"/>
              </w:rPr>
              <w:t>+</w:t>
            </w:r>
            <w:r>
              <w:rPr>
                <w:rFonts w:hint="eastAsia"/>
                <w:sz w:val="24"/>
              </w:rPr>
              <w:t>分组讨论；在学生分组讨论案例过程中，老师加入其中并适当指导。</w:t>
            </w:r>
          </w:p>
          <w:p>
            <w:pPr>
              <w:jc w:val="left"/>
              <w:rPr>
                <w:sz w:val="24"/>
              </w:rPr>
            </w:pPr>
          </w:p>
          <w:p>
            <w:pPr>
              <w:jc w:val="left"/>
              <w:rPr>
                <w:sz w:val="24"/>
              </w:rPr>
            </w:pP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cs="宋体"/>
                <w:kern w:val="0"/>
                <w:sz w:val="24"/>
              </w:rPr>
              <w:t>2</w:t>
            </w:r>
            <w:r>
              <w:rPr>
                <w:rFonts w:hint="eastAsia" w:ascii="宋体" w:cs="宋体"/>
                <w:kern w:val="0"/>
                <w:sz w:val="24"/>
              </w:rPr>
              <w:t>、</w:t>
            </w:r>
            <w:r>
              <w:rPr>
                <w:rFonts w:hint="eastAsia" w:ascii="宋体" w:hAnsi="宋体" w:cs="宋体"/>
                <w:kern w:val="0"/>
                <w:sz w:val="24"/>
              </w:rPr>
              <w:t>同学们通过课前收集案例，并对其整理后自行扮演角色重新演绎，观看案例视频后以小组形式进行讨论。</w:t>
            </w: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numPr>
                <w:ilvl w:val="0"/>
                <w:numId w:val="1"/>
              </w:numPr>
              <w:jc w:val="left"/>
              <w:rPr>
                <w:sz w:val="24"/>
              </w:rPr>
            </w:pPr>
            <w:r>
              <w:rPr>
                <w:rFonts w:hint="eastAsia"/>
                <w:sz w:val="24"/>
              </w:rPr>
              <w:t>这个学习方式比较容易激发学生兴趣，充分体现“做中学、做中教、学习者为中心”，能让学生很快进入课堂学习的状态。尤其是学生在讨论案情时有不同的观点进行碰撞，增加学习的积极性。</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268" w:type="dxa"/>
            <w:vMerge w:val="restart"/>
            <w:tcBorders>
              <w:top w:val="single" w:color="auto" w:sz="4" w:space="0"/>
              <w:right w:val="single" w:color="auto" w:sz="4" w:space="0"/>
            </w:tcBorders>
          </w:tcPr>
          <w:p>
            <w:pPr>
              <w:jc w:val="left"/>
              <w:rPr>
                <w:rFonts w:hint="eastAsia"/>
                <w:sz w:val="24"/>
              </w:rPr>
            </w:pPr>
          </w:p>
          <w:p>
            <w:pPr>
              <w:jc w:val="left"/>
              <w:rPr>
                <w:rFonts w:hint="eastAsia"/>
                <w:sz w:val="24"/>
              </w:rPr>
            </w:pPr>
          </w:p>
          <w:p>
            <w:pPr>
              <w:jc w:val="left"/>
              <w:rPr>
                <w:sz w:val="24"/>
              </w:rPr>
            </w:pPr>
            <w:r>
              <w:rPr>
                <w:rFonts w:hint="eastAsia"/>
                <w:sz w:val="24"/>
              </w:rPr>
              <w:t>课中学习（</w:t>
            </w:r>
            <w:r>
              <w:rPr>
                <w:sz w:val="24"/>
              </w:rPr>
              <w:t>36</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jc w:val="left"/>
              <w:rPr>
                <w:sz w:val="24"/>
              </w:rPr>
            </w:pPr>
            <w:r>
              <w:rPr>
                <w:sz w:val="24"/>
              </w:rPr>
              <w:t>3</w:t>
            </w:r>
            <w:r>
              <w:rPr>
                <w:rFonts w:hint="eastAsia"/>
                <w:sz w:val="24"/>
              </w:rPr>
              <w:t>、进行模拟法庭。</w: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hAnsi="宋体" w:cs="宋体"/>
                <w:kern w:val="0"/>
                <w:sz w:val="24"/>
              </w:rPr>
              <w:t>3</w:t>
            </w:r>
            <w:r>
              <w:rPr>
                <w:rFonts w:hint="eastAsia" w:ascii="宋体" w:hAnsi="宋体" w:cs="宋体"/>
                <w:kern w:val="0"/>
                <w:sz w:val="24"/>
              </w:rPr>
              <w:t>、学生自行演练，模拟法庭庭审现场。</w:t>
            </w: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3</w:t>
            </w:r>
            <w:r>
              <w:rPr>
                <w:rFonts w:hint="eastAsia"/>
                <w:sz w:val="24"/>
              </w:rPr>
              <w:t>、学生结合实际，还原部分法庭庭审的现场，这不仅要求学生要做好预习，提前对本章节内容有所了解，还要对诉讼程序也要有所掌握，增加学生学习兴趣的同时，提高对知识面的要求。</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5"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sz w:val="24"/>
              </w:rPr>
            </w:pPr>
            <w:r>
              <w:rPr>
                <w:sz w:val="24"/>
              </w:rPr>
              <w:t>4</w:t>
            </w:r>
            <w:r>
              <w:rPr>
                <w:rFonts w:hint="eastAsia"/>
                <w:sz w:val="24"/>
              </w:rPr>
              <w:t>、布置学生用思维导图的形式总结本章知识点，老师加入其中并适当指导后挑选作品分享。</w:t>
            </w: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cs="宋体"/>
                <w:kern w:val="0"/>
                <w:sz w:val="24"/>
              </w:rPr>
              <w:t>4</w:t>
            </w:r>
            <w:r>
              <w:rPr>
                <w:rFonts w:hint="eastAsia" w:ascii="宋体" w:cs="宋体"/>
                <w:kern w:val="0"/>
                <w:sz w:val="24"/>
              </w:rPr>
              <w:t>、</w:t>
            </w:r>
            <w:r>
              <w:rPr>
                <w:rFonts w:hint="eastAsia" w:ascii="宋体" w:hAnsi="宋体" w:cs="宋体"/>
                <w:kern w:val="0"/>
                <w:sz w:val="24"/>
              </w:rPr>
              <w:t>小组形式，结合自己的理解，梳理知识点，用思维导图的形式展现。</w:t>
            </w: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4</w:t>
            </w:r>
            <w:r>
              <w:rPr>
                <w:rFonts w:hint="eastAsia"/>
                <w:sz w:val="24"/>
              </w:rPr>
              <w:t>、在小组画图的过程中，教师参与其中，能直接了解同学们对知识点掌握的情况，有利于教师进行教学反思。挑选较好作品进行分享，能促进同学们之间的交流，更好地查漏补缺。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rFonts w:hint="eastAsia" w:eastAsia="宋体"/>
                <w:sz w:val="24"/>
                <w:lang w:eastAsia="zh-CN"/>
              </w:rPr>
            </w:pPr>
            <w:r>
              <w:rPr>
                <w:sz w:val="24"/>
              </w:rPr>
              <w:t>5</w:t>
            </w:r>
            <w:r>
              <w:rPr>
                <w:rFonts w:hint="eastAsia"/>
                <w:sz w:val="24"/>
              </w:rPr>
              <w:t>、专家点评</w:t>
            </w:r>
            <w:r>
              <w:rPr>
                <w:rFonts w:hint="eastAsia"/>
                <w:sz w:val="24"/>
                <w:lang w:eastAsia="zh-CN"/>
              </w:rPr>
              <w:t>。</w:t>
            </w: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hAnsi="宋体" w:cs="宋体"/>
                <w:kern w:val="0"/>
                <w:sz w:val="24"/>
              </w:rPr>
              <w:t>5</w:t>
            </w:r>
            <w:r>
              <w:rPr>
                <w:rFonts w:hint="eastAsia" w:ascii="宋体" w:hAnsi="宋体" w:cs="宋体"/>
                <w:kern w:val="0"/>
                <w:sz w:val="24"/>
              </w:rPr>
              <w:t>、邀请专家对案例进行分析并结合实际给予学生们建议。</w:t>
            </w: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5</w:t>
            </w:r>
            <w:r>
              <w:rPr>
                <w:rFonts w:hint="eastAsia"/>
                <w:sz w:val="24"/>
              </w:rPr>
              <w:t>、专家的讲解，能多角度、宽视野地帮同学们梳理知识点，给予的建议能更好提高同学们解决实际问题的能力，有利于教学目的的实现。</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rFonts w:hint="eastAsia" w:eastAsia="宋体"/>
                <w:sz w:val="24"/>
                <w:lang w:eastAsia="zh-CN"/>
              </w:rPr>
            </w:pPr>
            <w:r>
              <w:rPr>
                <w:sz w:val="24"/>
              </w:rPr>
              <w:t>6</w:t>
            </w:r>
            <w:r>
              <w:rPr>
                <w:rFonts w:hint="eastAsia"/>
                <w:sz w:val="24"/>
              </w:rPr>
              <w:t>、老师讲解思维导图</w:t>
            </w:r>
            <w:r>
              <w:rPr>
                <w:rFonts w:hint="eastAsia"/>
                <w:sz w:val="24"/>
                <w:lang w:eastAsia="zh-CN"/>
              </w:rPr>
              <w:t>。</w:t>
            </w:r>
          </w:p>
        </w:tc>
        <w:tc>
          <w:tcPr>
            <w:tcW w:w="2128" w:type="dxa"/>
            <w:tcBorders>
              <w:top w:val="single" w:color="auto" w:sz="4" w:space="0"/>
              <w:left w:val="single" w:color="auto" w:sz="4" w:space="0"/>
              <w:bottom w:val="single" w:color="auto" w:sz="4" w:space="0"/>
              <w:right w:val="single" w:color="auto" w:sz="4" w:space="0"/>
            </w:tcBorders>
          </w:tcPr>
          <w:p>
            <w:pPr>
              <w:jc w:val="left"/>
              <w:rPr>
                <w:rFonts w:ascii="宋体" w:cs="宋体"/>
                <w:kern w:val="0"/>
                <w:sz w:val="24"/>
              </w:rPr>
            </w:pPr>
            <w:r>
              <w:rPr>
                <w:rFonts w:ascii="宋体" w:cs="宋体"/>
                <w:kern w:val="0"/>
                <w:sz w:val="24"/>
              </w:rPr>
              <w:t>6</w:t>
            </w:r>
            <w:r>
              <w:rPr>
                <w:rFonts w:hint="eastAsia" w:ascii="宋体" w:cs="宋体"/>
                <w:kern w:val="0"/>
                <w:sz w:val="24"/>
              </w:rPr>
              <w:t>、</w:t>
            </w:r>
            <w:r>
              <w:rPr>
                <w:rFonts w:hint="eastAsia" w:ascii="宋体" w:hAnsi="宋体" w:cs="宋体"/>
                <w:kern w:val="0"/>
                <w:sz w:val="24"/>
              </w:rPr>
              <w:t>跟老师一起分解导图。</w:t>
            </w:r>
          </w:p>
        </w:tc>
        <w:tc>
          <w:tcPr>
            <w:tcW w:w="3329" w:type="dxa"/>
            <w:tcBorders>
              <w:top w:val="single" w:color="auto" w:sz="4" w:space="0"/>
              <w:left w:val="single" w:color="auto" w:sz="4" w:space="0"/>
              <w:bottom w:val="single" w:color="auto" w:sz="4" w:space="0"/>
            </w:tcBorders>
          </w:tcPr>
          <w:p>
            <w:pPr>
              <w:jc w:val="left"/>
              <w:rPr>
                <w:sz w:val="24"/>
              </w:rPr>
            </w:pPr>
            <w:r>
              <w:rPr>
                <w:sz w:val="24"/>
              </w:rPr>
              <w:t>6</w:t>
            </w:r>
            <w:r>
              <w:rPr>
                <w:rFonts w:hint="eastAsia"/>
                <w:sz w:val="24"/>
              </w:rPr>
              <w:t>、用思维导图的形式对今天学习的重、难点进行总结归纳，化繁为简，学生一目了然，容易记忆。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268" w:type="dxa"/>
            <w:vMerge w:val="restart"/>
            <w:tcBorders>
              <w:top w:val="single" w:color="auto" w:sz="4" w:space="0"/>
              <w:right w:val="single" w:color="auto" w:sz="4" w:space="0"/>
            </w:tcBorders>
          </w:tcPr>
          <w:p>
            <w:pPr>
              <w:rPr>
                <w:sz w:val="24"/>
              </w:rPr>
            </w:pPr>
          </w:p>
          <w:p>
            <w:pPr>
              <w:rPr>
                <w:sz w:val="24"/>
              </w:rPr>
            </w:pPr>
          </w:p>
          <w:p>
            <w:pPr>
              <w:rPr>
                <w:sz w:val="24"/>
              </w:rPr>
            </w:pPr>
          </w:p>
          <w:p>
            <w:pPr>
              <w:rPr>
                <w:rFonts w:ascii="Arial Unicode MS" w:hAnsi="Arial Unicode MS"/>
                <w:sz w:val="24"/>
              </w:rPr>
            </w:pPr>
            <w:r>
              <w:rPr>
                <w:rFonts w:hint="eastAsia"/>
                <w:sz w:val="24"/>
              </w:rPr>
              <w:t>课后总结</w:t>
            </w:r>
          </w:p>
          <w:p>
            <w:pPr>
              <w:rPr>
                <w:sz w:val="24"/>
              </w:rPr>
            </w:pPr>
            <w:r>
              <w:rPr>
                <w:sz w:val="24"/>
              </w:rPr>
              <w:t>(1</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rPr>
                <w:bCs/>
                <w:sz w:val="24"/>
              </w:rPr>
            </w:pPr>
            <w:r>
              <w:rPr>
                <w:bCs/>
                <w:sz w:val="24"/>
              </w:rPr>
              <w:t>1</w:t>
            </w:r>
            <w:r>
              <w:rPr>
                <w:rFonts w:hint="eastAsia"/>
                <w:bCs/>
                <w:sz w:val="24"/>
              </w:rPr>
              <w:t>、布置课后练习。</w:t>
            </w:r>
          </w:p>
          <w:p>
            <w:pPr>
              <w:rPr>
                <w:sz w:val="24"/>
              </w:rPr>
            </w:pP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cs="宋体"/>
                <w:kern w:val="0"/>
                <w:sz w:val="24"/>
              </w:rPr>
            </w:pPr>
            <w:r>
              <w:rPr>
                <w:bCs/>
                <w:sz w:val="24"/>
              </w:rPr>
              <w:t>1</w:t>
            </w:r>
            <w:r>
              <w:rPr>
                <w:rFonts w:hint="eastAsia"/>
                <w:bCs/>
                <w:sz w:val="24"/>
              </w:rPr>
              <w:t>、登陆系统，完成相应习题。</w:t>
            </w:r>
          </w:p>
        </w:tc>
        <w:tc>
          <w:tcPr>
            <w:tcW w:w="3329" w:type="dxa"/>
            <w:tcBorders>
              <w:top w:val="single" w:color="auto" w:sz="4" w:space="0"/>
              <w:left w:val="single" w:color="auto" w:sz="4" w:space="0"/>
              <w:bottom w:val="single" w:color="auto" w:sz="4" w:space="0"/>
            </w:tcBorders>
          </w:tcPr>
          <w:p>
            <w:pPr>
              <w:rPr>
                <w:sz w:val="24"/>
              </w:rPr>
            </w:pPr>
            <w:r>
              <w:rPr>
                <w:sz w:val="24"/>
              </w:rPr>
              <w:t>1</w:t>
            </w:r>
            <w:r>
              <w:rPr>
                <w:rFonts w:hint="eastAsia"/>
                <w:sz w:val="24"/>
              </w:rPr>
              <w:t>、回顾本章节内容，对所学内容作总结，加深印象。</w:t>
            </w:r>
          </w:p>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268" w:type="dxa"/>
            <w:vMerge w:val="continue"/>
            <w:tcBorders>
              <w:right w:val="single" w:color="auto" w:sz="4" w:space="0"/>
            </w:tcBorders>
          </w:tcPr>
          <w:p>
            <w:pPr>
              <w:rPr>
                <w:sz w:val="24"/>
              </w:rPr>
            </w:pPr>
          </w:p>
        </w:tc>
        <w:tc>
          <w:tcPr>
            <w:tcW w:w="2519" w:type="dxa"/>
            <w:tcBorders>
              <w:top w:val="single" w:color="auto" w:sz="4" w:space="0"/>
              <w:left w:val="single" w:color="auto" w:sz="4" w:space="0"/>
              <w:bottom w:val="single" w:color="auto" w:sz="4" w:space="0"/>
              <w:right w:val="single" w:color="auto" w:sz="4" w:space="0"/>
            </w:tcBorders>
          </w:tcPr>
          <w:p>
            <w:pPr>
              <w:rPr>
                <w:bCs/>
                <w:sz w:val="24"/>
              </w:rPr>
            </w:pPr>
            <w:r>
              <w:rPr>
                <w:bCs/>
                <w:sz w:val="24"/>
              </w:rPr>
              <w:t>2</w:t>
            </w:r>
            <w:r>
              <w:rPr>
                <w:rFonts w:hint="eastAsia"/>
                <w:bCs/>
                <w:sz w:val="24"/>
              </w:rPr>
              <w:t>、安排学生进行教学评价；</w:t>
            </w:r>
          </w:p>
          <w:p>
            <w:pPr>
              <w:rPr>
                <w:bCs/>
                <w:sz w:val="24"/>
              </w:rPr>
            </w:pPr>
          </w:p>
          <w:p>
            <w:pPr>
              <w:rPr>
                <w:bCs/>
                <w:sz w:val="24"/>
              </w:rPr>
            </w:pP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left"/>
              <w:rPr>
                <w:bCs/>
                <w:sz w:val="24"/>
              </w:rPr>
            </w:pPr>
            <w:r>
              <w:rPr>
                <w:bCs/>
                <w:sz w:val="24"/>
              </w:rPr>
              <w:t>2</w:t>
            </w:r>
            <w:r>
              <w:rPr>
                <w:rFonts w:hint="eastAsia"/>
                <w:bCs/>
                <w:sz w:val="24"/>
              </w:rPr>
              <w:t>、对本课进行学习评价。</w:t>
            </w:r>
          </w:p>
          <w:p>
            <w:pPr>
              <w:rPr>
                <w:bCs/>
                <w:sz w:val="24"/>
              </w:rPr>
            </w:pPr>
          </w:p>
        </w:tc>
        <w:tc>
          <w:tcPr>
            <w:tcW w:w="3329" w:type="dxa"/>
            <w:tcBorders>
              <w:top w:val="single" w:color="auto" w:sz="4" w:space="0"/>
              <w:left w:val="single" w:color="auto" w:sz="4" w:space="0"/>
              <w:bottom w:val="single" w:color="auto" w:sz="4" w:space="0"/>
            </w:tcBorders>
          </w:tcPr>
          <w:p>
            <w:pPr>
              <w:numPr>
                <w:ilvl w:val="0"/>
                <w:numId w:val="3"/>
              </w:numPr>
              <w:rPr>
                <w:sz w:val="24"/>
              </w:rPr>
            </w:pPr>
            <w:r>
              <w:rPr>
                <w:rFonts w:hint="eastAsia"/>
                <w:sz w:val="24"/>
              </w:rPr>
              <w:t>学生对教师进行教学评价，有利于教师进行教学反思，并有针对性地调整课程的教学，从而提高教学水平。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1268" w:type="dxa"/>
            <w:vMerge w:val="continue"/>
            <w:tcBorders>
              <w:bottom w:val="single" w:color="auto" w:sz="4" w:space="0"/>
              <w:right w:val="single" w:color="auto" w:sz="4" w:space="0"/>
            </w:tcBorders>
          </w:tcPr>
          <w:p>
            <w:pPr>
              <w:rPr>
                <w:sz w:val="24"/>
              </w:rPr>
            </w:pPr>
          </w:p>
        </w:tc>
        <w:tc>
          <w:tcPr>
            <w:tcW w:w="2519" w:type="dxa"/>
            <w:tcBorders>
              <w:top w:val="single" w:color="auto" w:sz="4" w:space="0"/>
              <w:left w:val="single" w:color="auto" w:sz="4" w:space="0"/>
              <w:bottom w:val="single" w:color="auto" w:sz="4" w:space="0"/>
              <w:right w:val="single" w:color="auto" w:sz="4" w:space="0"/>
            </w:tcBorders>
          </w:tcPr>
          <w:p>
            <w:pPr>
              <w:rPr>
                <w:sz w:val="24"/>
              </w:rPr>
            </w:pPr>
            <w:r>
              <w:rPr>
                <w:bCs/>
                <w:sz w:val="24"/>
              </w:rPr>
              <w:t>3</w:t>
            </w:r>
            <w:r>
              <w:rPr>
                <w:rFonts w:hint="eastAsia"/>
                <w:bCs/>
                <w:sz w:val="24"/>
              </w:rPr>
              <w:t>、安排预习内容。</w:t>
            </w:r>
          </w:p>
          <w:p>
            <w:pPr>
              <w:rPr>
                <w:bCs/>
                <w:sz w:val="24"/>
              </w:rPr>
            </w:pPr>
          </w:p>
        </w:tc>
        <w:tc>
          <w:tcPr>
            <w:tcW w:w="2128" w:type="dxa"/>
            <w:tcBorders>
              <w:top w:val="single" w:color="auto" w:sz="4" w:space="0"/>
              <w:left w:val="single" w:color="auto" w:sz="4" w:space="0"/>
              <w:bottom w:val="single" w:color="auto" w:sz="4" w:space="0"/>
              <w:right w:val="single" w:color="auto" w:sz="4" w:space="0"/>
            </w:tcBorders>
          </w:tcPr>
          <w:p>
            <w:pPr>
              <w:rPr>
                <w:bCs/>
                <w:sz w:val="24"/>
              </w:rPr>
            </w:pPr>
            <w:r>
              <w:rPr>
                <w:bCs/>
                <w:sz w:val="24"/>
              </w:rPr>
              <w:t>3</w:t>
            </w:r>
            <w:r>
              <w:rPr>
                <w:rFonts w:hint="eastAsia"/>
                <w:bCs/>
                <w:sz w:val="24"/>
              </w:rPr>
              <w:t>、预习下一章节的内容。</w:t>
            </w:r>
          </w:p>
        </w:tc>
        <w:tc>
          <w:tcPr>
            <w:tcW w:w="3329" w:type="dxa"/>
            <w:tcBorders>
              <w:top w:val="single" w:color="auto" w:sz="4" w:space="0"/>
              <w:left w:val="single" w:color="auto" w:sz="4" w:space="0"/>
              <w:bottom w:val="single" w:color="auto" w:sz="4" w:space="0"/>
            </w:tcBorders>
          </w:tcPr>
          <w:p>
            <w:pPr>
              <w:rPr>
                <w:sz w:val="24"/>
              </w:rPr>
            </w:pPr>
            <w:r>
              <w:rPr>
                <w:sz w:val="24"/>
              </w:rPr>
              <w:t>3</w:t>
            </w:r>
            <w:r>
              <w:rPr>
                <w:rFonts w:hint="eastAsia"/>
                <w:sz w:val="24"/>
              </w:rPr>
              <w:t>、提前布置预习任务，让学生对新的知识有了初步了解，提高下节课程的学习效率。</w:t>
            </w:r>
          </w:p>
        </w:tc>
      </w:tr>
    </w:tbl>
    <w:p>
      <w:pPr>
        <w:rPr>
          <w:b/>
          <w:bCs/>
          <w:sz w:val="28"/>
          <w:szCs w:val="28"/>
        </w:rPr>
      </w:pPr>
    </w:p>
    <w:p>
      <w:pPr>
        <w:numPr>
          <w:ilvl w:val="0"/>
          <w:numId w:val="4"/>
        </w:numPr>
        <w:rPr>
          <w:b/>
          <w:bCs/>
          <w:sz w:val="28"/>
          <w:szCs w:val="28"/>
        </w:rPr>
      </w:pPr>
      <w:r>
        <w:rPr>
          <w:rFonts w:hint="eastAsia"/>
          <w:b/>
          <w:bCs/>
          <w:sz w:val="28"/>
          <w:szCs w:val="28"/>
        </w:rPr>
        <w:t>课后反思</w:t>
      </w:r>
    </w:p>
    <w:p>
      <w:pPr>
        <w:rPr>
          <w:sz w:val="28"/>
          <w:szCs w:val="28"/>
        </w:rPr>
      </w:pPr>
      <w:r>
        <w:rPr>
          <w:sz w:val="28"/>
          <w:szCs w:val="28"/>
        </w:rPr>
        <w:t>1</w:t>
      </w:r>
      <w:r>
        <w:rPr>
          <w:rFonts w:hint="eastAsia"/>
          <w:sz w:val="28"/>
          <w:szCs w:val="28"/>
        </w:rPr>
        <w:t>、结合教材、参考文献等全方位打造信息面全、案例丰富的课堂。</w:t>
      </w:r>
    </w:p>
    <w:p>
      <w:pPr>
        <w:ind w:firstLine="560" w:firstLineChars="200"/>
        <w:rPr>
          <w:sz w:val="28"/>
          <w:szCs w:val="28"/>
        </w:rPr>
      </w:pPr>
      <w:r>
        <w:rPr>
          <w:rFonts w:hint="eastAsia"/>
          <w:sz w:val="28"/>
          <w:szCs w:val="28"/>
        </w:rPr>
        <w:t>根据教材的安排，合理设计本章节的教学内容，从参考文献、网络、专家等多途径拓宽知识，从点到面，逐步铺开，顺利完成教学任务。</w:t>
      </w:r>
    </w:p>
    <w:p>
      <w:pPr>
        <w:numPr>
          <w:ilvl w:val="0"/>
          <w:numId w:val="3"/>
        </w:numPr>
        <w:rPr>
          <w:sz w:val="28"/>
          <w:szCs w:val="28"/>
        </w:rPr>
      </w:pPr>
      <w:r>
        <w:rPr>
          <w:rFonts w:hint="eastAsia"/>
          <w:sz w:val="28"/>
          <w:szCs w:val="28"/>
        </w:rPr>
        <w:t>鼓励学生多参与，真正体现“做中学、做中教、学习者为中心”。</w:t>
      </w:r>
    </w:p>
    <w:p>
      <w:pPr>
        <w:ind w:firstLine="560" w:firstLineChars="200"/>
        <w:rPr>
          <w:sz w:val="28"/>
          <w:szCs w:val="28"/>
        </w:rPr>
      </w:pPr>
      <w:r>
        <w:rPr>
          <w:rFonts w:hint="eastAsia"/>
          <w:sz w:val="28"/>
          <w:szCs w:val="28"/>
        </w:rPr>
        <w:t>优秀作品的分享（整理劳动合同模板）、课堂学生的提问、小组成员的讨论、教师的适当指导、模拟法庭的进行、思维导图的介绍以及学生自拍案例的演绎，充分发挥学习的主动性。小组讨论的形式，让学习变为更灵动。</w:t>
      </w:r>
    </w:p>
    <w:p>
      <w:pPr>
        <w:numPr>
          <w:ilvl w:val="0"/>
          <w:numId w:val="3"/>
        </w:numPr>
        <w:rPr>
          <w:sz w:val="28"/>
          <w:szCs w:val="28"/>
        </w:rPr>
      </w:pPr>
      <w:r>
        <w:rPr>
          <w:rFonts w:hint="eastAsia"/>
          <w:sz w:val="28"/>
          <w:szCs w:val="28"/>
        </w:rPr>
        <w:t>教学手段的多样性，打造精彩课堂。</w:t>
      </w:r>
    </w:p>
    <w:p>
      <w:pPr>
        <w:ind w:firstLine="560" w:firstLineChars="200"/>
        <w:rPr>
          <w:sz w:val="28"/>
          <w:szCs w:val="28"/>
        </w:rPr>
      </w:pPr>
      <w:r>
        <w:rPr>
          <w:rFonts w:hint="eastAsia"/>
          <w:sz w:val="28"/>
          <w:szCs w:val="28"/>
        </w:rPr>
        <w:t>教师分析案例、学生分享作品、专家讲解案例、教师思维导图的归纳等多种教学手段的结合，让课堂学习气氛更浓厚，达到了预期的教学效果。</w:t>
      </w:r>
    </w:p>
    <w:p>
      <w:pPr>
        <w:ind w:left="560"/>
      </w:pPr>
    </w:p>
    <w:p>
      <w:pPr>
        <w:rPr>
          <w:sz w:val="28"/>
          <w:szCs w:val="28"/>
        </w:rPr>
      </w:pPr>
    </w:p>
    <w:p>
      <w:pPr>
        <w:ind w:firstLine="420" w:firstLineChars="20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1609A"/>
    <w:multiLevelType w:val="singleLevel"/>
    <w:tmpl w:val="0091609A"/>
    <w:lvl w:ilvl="0" w:tentative="0">
      <w:start w:val="1"/>
      <w:numFmt w:val="decimal"/>
      <w:suff w:val="nothing"/>
      <w:lvlText w:val="%1、"/>
      <w:lvlJc w:val="left"/>
      <w:rPr>
        <w:rFonts w:cs="Times New Roman"/>
      </w:rPr>
    </w:lvl>
  </w:abstractNum>
  <w:abstractNum w:abstractNumId="1">
    <w:nsid w:val="52E6A342"/>
    <w:multiLevelType w:val="multilevel"/>
    <w:tmpl w:val="52E6A342"/>
    <w:lvl w:ilvl="0" w:tentative="0">
      <w:start w:val="1"/>
      <w:numFmt w:val="decimal"/>
      <w:suff w:val="nothing"/>
      <w:lvlText w:val="%1、"/>
      <w:lvlJc w:val="left"/>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56B1CAF"/>
    <w:multiLevelType w:val="singleLevel"/>
    <w:tmpl w:val="556B1CAF"/>
    <w:lvl w:ilvl="0" w:tentative="0">
      <w:start w:val="1"/>
      <w:numFmt w:val="decimal"/>
      <w:suff w:val="nothing"/>
      <w:lvlText w:val="%1、"/>
      <w:lvlJc w:val="left"/>
      <w:rPr>
        <w:rFonts w:cs="Times New Roman"/>
      </w:rPr>
    </w:lvl>
  </w:abstractNum>
  <w:abstractNum w:abstractNumId="3">
    <w:nsid w:val="74EE289F"/>
    <w:multiLevelType w:val="multilevel"/>
    <w:tmpl w:val="74EE289F"/>
    <w:lvl w:ilvl="0" w:tentative="0">
      <w:start w:val="5"/>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Nzc3YjJjZWVlZDNkYTNkMTIyM2ZlNTI3ZmIxODcifQ=="/>
  </w:docVars>
  <w:rsids>
    <w:rsidRoot w:val="00B13573"/>
    <w:rsid w:val="00017E3A"/>
    <w:rsid w:val="00032F1F"/>
    <w:rsid w:val="001978BB"/>
    <w:rsid w:val="001A1A7C"/>
    <w:rsid w:val="00205FEE"/>
    <w:rsid w:val="002627B1"/>
    <w:rsid w:val="003774EB"/>
    <w:rsid w:val="003E127F"/>
    <w:rsid w:val="003E32B6"/>
    <w:rsid w:val="00485C1A"/>
    <w:rsid w:val="00674E34"/>
    <w:rsid w:val="00684583"/>
    <w:rsid w:val="00796167"/>
    <w:rsid w:val="00842C89"/>
    <w:rsid w:val="00950AB1"/>
    <w:rsid w:val="00AD3071"/>
    <w:rsid w:val="00AD751E"/>
    <w:rsid w:val="00B13573"/>
    <w:rsid w:val="00B87117"/>
    <w:rsid w:val="00BC02E0"/>
    <w:rsid w:val="00D76171"/>
    <w:rsid w:val="00E90DF7"/>
    <w:rsid w:val="01D65C1F"/>
    <w:rsid w:val="028C3D68"/>
    <w:rsid w:val="09F735E9"/>
    <w:rsid w:val="0E2511F5"/>
    <w:rsid w:val="0EC83967"/>
    <w:rsid w:val="10B742EF"/>
    <w:rsid w:val="12AA39F3"/>
    <w:rsid w:val="157955E1"/>
    <w:rsid w:val="1BF11FB6"/>
    <w:rsid w:val="1C655662"/>
    <w:rsid w:val="1D874DED"/>
    <w:rsid w:val="220C495F"/>
    <w:rsid w:val="2746541D"/>
    <w:rsid w:val="29702391"/>
    <w:rsid w:val="2B0C090D"/>
    <w:rsid w:val="2D522956"/>
    <w:rsid w:val="2DD8608D"/>
    <w:rsid w:val="2F184F44"/>
    <w:rsid w:val="342975A7"/>
    <w:rsid w:val="385971C3"/>
    <w:rsid w:val="403A3FA0"/>
    <w:rsid w:val="42943646"/>
    <w:rsid w:val="43FA5B89"/>
    <w:rsid w:val="472849CF"/>
    <w:rsid w:val="4A051187"/>
    <w:rsid w:val="4BB37C76"/>
    <w:rsid w:val="4D5562CE"/>
    <w:rsid w:val="50351B0E"/>
    <w:rsid w:val="518B7F37"/>
    <w:rsid w:val="59062EC0"/>
    <w:rsid w:val="59B34EC1"/>
    <w:rsid w:val="5C482575"/>
    <w:rsid w:val="5D794321"/>
    <w:rsid w:val="5DE137CD"/>
    <w:rsid w:val="633C08F9"/>
    <w:rsid w:val="668F0A8B"/>
    <w:rsid w:val="6B4334A7"/>
    <w:rsid w:val="6E6979CF"/>
    <w:rsid w:val="724346B3"/>
    <w:rsid w:val="72AF5DD6"/>
    <w:rsid w:val="730907F6"/>
    <w:rsid w:val="74111F21"/>
    <w:rsid w:val="760701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2"/>
    <w:semiHidden/>
    <w:qFormat/>
    <w:uiPriority w:val="99"/>
    <w:rPr>
      <w:rFonts w:ascii="Times New Roman" w:hAnsi="Times New Roman"/>
      <w:sz w:val="18"/>
      <w:szCs w:val="18"/>
    </w:rPr>
  </w:style>
  <w:style w:type="character" w:customStyle="1" w:styleId="8">
    <w:name w:val="Header Char"/>
    <w:basedOn w:val="6"/>
    <w:link w:val="3"/>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1880</Words>
  <Characters>1883</Characters>
  <Lines>0</Lines>
  <Paragraphs>0</Paragraphs>
  <TotalTime>19</TotalTime>
  <ScaleCrop>false</ScaleCrop>
  <LinksUpToDate>false</LinksUpToDate>
  <CharactersWithSpaces>1887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FUDAO</cp:lastModifiedBy>
  <dcterms:modified xsi:type="dcterms:W3CDTF">2022-06-30T08:39:26Z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3885EBCA67B1450F86A96F18D0098912</vt:lpwstr>
  </property>
</Properties>
</file>